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  <w:r w:rsidR="002B1D2A">
        <w:rPr>
          <w:szCs w:val="28"/>
        </w:rPr>
        <w:t xml:space="preserve"> ΓΙΑ ΣΜΕΑΕ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 xml:space="preserve"> Πιερίας)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  <w:bookmarkStart w:id="0" w:name="_GoBack"/>
        <w:bookmarkEnd w:id="0"/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35"/>
    <w:rsid w:val="00212065"/>
    <w:rsid w:val="002B1D2A"/>
    <w:rsid w:val="0054561A"/>
    <w:rsid w:val="006223A5"/>
    <w:rsid w:val="006A2035"/>
    <w:rsid w:val="00820688"/>
    <w:rsid w:val="0084366F"/>
    <w:rsid w:val="00AC7B4E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5A4372-512B-4790-BF45-DB33902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User</cp:lastModifiedBy>
  <cp:revision>6</cp:revision>
  <cp:lastPrinted>2016-10-03T05:24:00Z</cp:lastPrinted>
  <dcterms:created xsi:type="dcterms:W3CDTF">2016-09-29T19:58:00Z</dcterms:created>
  <dcterms:modified xsi:type="dcterms:W3CDTF">2024-04-16T10:50:00Z</dcterms:modified>
</cp:coreProperties>
</file>